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sz w:val="30"/>
        </w:rPr>
        <w:t>KVKK Aydınlatma Metni Örneği</w:t>
      </w:r>
    </w:p>
    <w:p>
      <w:r>
        <w:rPr>
          <w:b/>
          <w:sz w:val="22"/>
        </w:rPr>
        <w:t>Önemli not:</w:t>
      </w:r>
    </w:p>
    <w:p>
      <w:r>
        <w:rPr>
          <w:sz w:val="21"/>
        </w:rPr>
        <w:t>Bu metin genel örnektir. Veri sorumlusunun kimliği, işleme amacı, hukuki sebep, veri kategorileri, aktarım yapılan kişi grupları ve saklama süreleri somut faaliyete göre mutlaka uyarlanmalıdır.</w:t>
      </w:r>
    </w:p>
    <w:p>
      <w:r>
        <w:rPr>
          <w:b/>
          <w:sz w:val="22"/>
        </w:rPr>
        <w:t>1. Veri Sorumlusunun Kimliği</w:t>
      </w:r>
    </w:p>
    <w:p>
      <w:r>
        <w:rPr>
          <w:sz w:val="21"/>
        </w:rPr>
        <w:t>6698 sayılı Kişisel Verilerin Korunması Kanunu (“KVKK”) uyarınca, veri sorumlusu sıfatıyla hareket eden ........................................................ tarafından kişisel verileriniz aşağıda açıklanan kapsamda işlenebilecektir.</w:t>
      </w:r>
    </w:p>
    <w:p>
      <w:r>
        <w:rPr>
          <w:b/>
          <w:sz w:val="22"/>
        </w:rPr>
        <w:t>2. İşlenen Kişisel Veriler</w:t>
      </w:r>
    </w:p>
    <w:p>
      <w:r>
        <w:rPr>
          <w:sz w:val="21"/>
        </w:rPr>
        <w:t>Somut olaya göre kimlik bilgisi, iletişim bilgisi, finans bilgisi, müşteri işlem bilgisi, özlük bilgisi, hukuki işlem bilgisi, işlem güvenliği verisi, fiziksel mekan güvenliği verisi ve benzeri kişisel veriler işlenebilir.</w:t>
      </w:r>
    </w:p>
    <w:p>
      <w:r>
        <w:rPr>
          <w:b/>
          <w:sz w:val="22"/>
        </w:rPr>
        <w:t>3. Kişisel Verilerin İşlenme Amaçları</w:t>
      </w:r>
    </w:p>
    <w:p>
      <w:r>
        <w:rPr>
          <w:sz w:val="21"/>
        </w:rPr>
        <w:t>Kişisel verileriniz; hizmet sunulması, sözleşme süreçlerinin yürütülmesi, iletişim faaliyetlerinin gerçekleştirilmesi, yasal yükümlülüklerin yerine getirilmesi, talep ve şikâyet süreçlerinin takibi, finans ve muhasebe süreçlerinin yürütülmesi ile bilgi güvenliği faaliyetlerinin sağlanması amaçlarıyla işlenebilir.</w:t>
      </w:r>
    </w:p>
    <w:p>
      <w:r>
        <w:rPr>
          <w:b/>
          <w:sz w:val="22"/>
        </w:rPr>
        <w:t>4. Kişisel Verilerin Toplanma Yöntemi ve Hukuki Sebebi</w:t>
      </w:r>
    </w:p>
    <w:p>
      <w:r>
        <w:rPr>
          <w:sz w:val="21"/>
        </w:rPr>
        <w:t>Kişisel verileriniz; fiziki ortam, elektronik ortam, internet sitesi, e-posta, telefon, sözleşme, başvuru formu, kamera kaydı, insan kaynakları süreçleri ve benzeri kanallar aracılığıyla toplanabilir. Verileriniz, KVKK m.5 ve m.6 kapsamında açık rıza veya kanunda öngörülen diğer işleme şartlarına dayanılarak işlenebilir.</w:t>
      </w:r>
    </w:p>
    <w:p>
      <w:r>
        <w:rPr>
          <w:b/>
          <w:sz w:val="22"/>
        </w:rPr>
        <w:t>5. Kişisel Verilerin Aktarılması</w:t>
      </w:r>
    </w:p>
    <w:p>
      <w:r>
        <w:rPr>
          <w:sz w:val="21"/>
        </w:rPr>
        <w:t>Kişisel verileriniz, somut olaya göre; yetkili kamu kurum ve kuruluşlarına, hukuken yetkili özel kişilere, mali müşavirlere, danışmanlara, hizmet sağlayıcılara, tedarikçilere, bilgi teknolojileri altyapı sağlayıcılarına ve gerekli olduğu ölçüde iş ortaklarına aktarılabilir.</w:t>
      </w:r>
    </w:p>
    <w:p>
      <w:r>
        <w:rPr>
          <w:b/>
          <w:sz w:val="22"/>
        </w:rPr>
        <w:t>6. İlgili Kişinin Hakları</w:t>
      </w:r>
    </w:p>
    <w:p>
      <w:r>
        <w:rPr>
          <w:sz w:val="21"/>
        </w:rPr>
        <w:t>KVKK m.11 uyarınca ilgili kişi olarak; kişisel verinizin işlenip işlenmediğini öğrenme, işlenmişse buna ilişkin bilgi talep etme, işlenme amacını öğrenme, eksik veya yanlış işlenmişse düzeltilmesini isteme, silinmesini veya yok edilmesini isteme ve kanunda sayılan diğer haklara sahipsiniz.</w:t>
      </w:r>
    </w:p>
    <w:p>
      <w:r>
        <w:rPr>
          <w:b/>
          <w:sz w:val="22"/>
        </w:rPr>
        <w:t>7. Başvuru Yöntemi</w:t>
      </w:r>
    </w:p>
    <w:p>
      <w:r>
        <w:rPr>
          <w:sz w:val="21"/>
        </w:rPr>
        <w:t>KVKK kapsamındaki taleplerinizi, veri sorumlusuna ait ........................................................ adresine yazılı olarak veya mevzuatta öngörülen diğer başvuru yöntemleriyle iletebilirsiniz.</w:t>
      </w:r>
    </w:p>
    <w:p>
      <w:r>
        <w:rPr>
          <w:b/>
          <w:sz w:val="22"/>
        </w:rPr>
        <w:t>Düzenleme Notu</w:t>
      </w:r>
    </w:p>
    <w:p>
      <w:r>
        <w:rPr>
          <w:sz w:val="21"/>
        </w:rPr>
        <w:t>Bu aydınlatma metni örnek niteliğindedir. Veri sorumlusunun faaliyet alanına, çalışan/müşteri/ziyaretçi/tedarikçi ayrımına ve özel nitelikli veri işleyip işlemediğine göre ayrıca revize edilmelidir.</w:t>
      </w:r>
    </w:p>
    <w:p>
      <w:r>
        <w:rPr>
          <w:b/>
          <w:sz w:val="22"/>
        </w:rPr>
        <w:t>Kullanım Notları</w:t>
      </w:r>
    </w:p>
    <w:p>
      <w:pPr>
        <w:ind w:left="288"/>
      </w:pPr>
      <w:r>
        <w:t>• Tek bir genel KVKK metni her şirket veya faaliyet için yeterli olmayabilir.</w:t>
      </w:r>
    </w:p>
    <w:p>
      <w:pPr>
        <w:ind w:left="288"/>
      </w:pPr>
      <w:r>
        <w:t>• Çalışan, müşteri, ziyaretçi, internet sitesi kullanıcısı ve başvuru sahibi için ayrı aydınlatma metni gerekebilir.</w:t>
      </w:r>
    </w:p>
    <w:p>
      <w:pPr>
        <w:ind w:left="288"/>
      </w:pPr>
      <w:r>
        <w:t>• Saklama süresi, veri kategorileri ve aktarım grupları somut süreçlere göre açık yazılmalıdır.</w:t>
      </w:r>
    </w:p>
    <w:p>
      <w:pPr>
        <w:ind w:left="288"/>
      </w:pPr>
      <w:r>
        <w:t>• Bu örnek genel amaçlıdır; somut faaliyete göre mutlaka uyarlanmalıdır.</w:t>
      </w:r>
    </w:p>
    <w:sectPr w:rsidR="00FC693F" w:rsidRPr="0006063C" w:rsidSect="00034616">
      <w:pgSz w:w="12240" w:h="15840"/>
      <w:pgMar w:top="1152"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