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0" w:before="0"/>
        <w:jc w:val="center"/>
      </w:pPr>
      <w:r>
        <w:rPr>
          <w:rFonts w:ascii="Arial" w:hAnsi="Arial" w:eastAsia="Arial"/>
          <w:b/>
          <w:sz w:val="21"/>
        </w:rPr>
        <w:t>İŞE İADE DAVASI DİLEKÇESİ ÖRNEĞİ</w:t>
      </w:r>
    </w:p>
    <w:p>
      <w:pPr>
        <w:spacing w:after="200" w:before="0"/>
      </w:pPr>
      <w:r>
        <w:rPr>
          <w:rFonts w:ascii="Arial" w:hAnsi="Arial" w:eastAsia="Arial"/>
          <w:b w:val="0"/>
          <w:sz w:val="21"/>
        </w:rPr>
        <w:t>Önemli not: Bu metin genel örnektir. Fesih bildiriminin içeriği, iş güvencesi şartları, arabuluculuk son tutanağı, işe başlatmama tazminatı ve boşta geçen süre ücreti talepleri somut olaya göre mutlaka uyarlanmalıdır.</w:t>
      </w:r>
    </w:p>
    <w:p>
      <w:pPr>
        <w:spacing w:after="200" w:before="0"/>
      </w:pPr>
      <w:r>
        <w:rPr>
          <w:rFonts w:ascii="Arial" w:hAnsi="Arial" w:eastAsia="Arial"/>
          <w:b/>
          <w:sz w:val="21"/>
        </w:rPr>
        <w:t>... İŞ MAHKEMESİ SAYIN HÂKİMLİĞİ’NE</w:t>
      </w:r>
    </w:p>
    <w:tbl>
      <w:tblPr>
        <w:tblStyle w:val="TableGrid"/>
        <w:tblW w:type="auto" w:w="0"/>
        <w:jc w:val="center"/>
        <w:tblLayout w:type="fixed"/>
        <w:tblLook w:firstColumn="1" w:firstRow="1" w:lastColumn="0" w:lastRow="0" w:noHBand="0" w:noVBand="1" w:val="04A0"/>
      </w:tblPr>
      <w:tblGrid>
        <w:gridCol w:w="4816"/>
        <w:gridCol w:w="4816"/>
      </w:tblGrid>
      <w:tr>
        <w:tc>
          <w:tcPr>
            <w:tcW w:type="dxa" w:w="2381"/>
            <w:vAlign w:val="center"/>
          </w:tcPr>
          <w:p>
            <w:pPr>
              <w:spacing w:after="40" w:before="40"/>
            </w:pPr>
            <w:r>
              <w:rPr>
                <w:b/>
                <w:sz w:val="20"/>
              </w:rPr>
              <w:t>DAVACI</w:t>
            </w:r>
          </w:p>
        </w:tc>
        <w:tc>
          <w:tcPr>
            <w:tcW w:type="dxa" w:w="6350"/>
            <w:vAlign w:val="center"/>
          </w:tcPr>
          <w:p>
            <w:pPr>
              <w:spacing w:after="40" w:before="40"/>
            </w:pPr>
            <w:r>
              <w:rPr>
                <w:sz w:val="20"/>
              </w:rPr>
              <w:t>Ad Soyad, T.C. Kimlik No, Adres</w:t>
            </w:r>
          </w:p>
        </w:tc>
      </w:tr>
      <w:tr>
        <w:tc>
          <w:tcPr>
            <w:tcW w:type="dxa" w:w="2381"/>
            <w:vAlign w:val="center"/>
          </w:tcPr>
          <w:p>
            <w:pPr>
              <w:spacing w:after="40" w:before="40"/>
            </w:pPr>
            <w:r>
              <w:rPr>
                <w:b/>
                <w:sz w:val="20"/>
              </w:rPr>
              <w:t>VEKİLİ</w:t>
            </w:r>
          </w:p>
        </w:tc>
        <w:tc>
          <w:tcPr>
            <w:tcW w:type="dxa" w:w="6350"/>
            <w:vAlign w:val="center"/>
          </w:tcPr>
          <w:p>
            <w:pPr>
              <w:spacing w:after="40" w:before="40"/>
            </w:pPr>
            <w:r>
              <w:rPr>
                <w:sz w:val="20"/>
              </w:rPr>
              <w:t>Varsa Av. Ad Soyad, Baro Sicil No, Adres</w:t>
            </w:r>
          </w:p>
        </w:tc>
      </w:tr>
      <w:tr>
        <w:tc>
          <w:tcPr>
            <w:tcW w:type="dxa" w:w="2381"/>
            <w:vAlign w:val="center"/>
          </w:tcPr>
          <w:p>
            <w:pPr>
              <w:spacing w:after="40" w:before="40"/>
            </w:pPr>
            <w:r>
              <w:rPr>
                <w:b/>
                <w:sz w:val="20"/>
              </w:rPr>
              <w:t>DAVALI</w:t>
            </w:r>
          </w:p>
        </w:tc>
        <w:tc>
          <w:tcPr>
            <w:tcW w:type="dxa" w:w="6350"/>
            <w:vAlign w:val="center"/>
          </w:tcPr>
          <w:p>
            <w:pPr>
              <w:spacing w:after="40" w:before="40"/>
            </w:pPr>
            <w:r>
              <w:rPr>
                <w:sz w:val="20"/>
              </w:rPr>
              <w:t>İşveren Unvanı / Ad Soyad, Vergi No / T.C. Kimlik No, Adres</w:t>
            </w:r>
          </w:p>
        </w:tc>
      </w:tr>
      <w:tr>
        <w:tc>
          <w:tcPr>
            <w:tcW w:type="dxa" w:w="2381"/>
            <w:vAlign w:val="center"/>
          </w:tcPr>
          <w:p>
            <w:pPr>
              <w:spacing w:after="40" w:before="40"/>
            </w:pPr>
            <w:r>
              <w:rPr>
                <w:b/>
                <w:sz w:val="20"/>
              </w:rPr>
              <w:t>KONU</w:t>
            </w:r>
          </w:p>
        </w:tc>
        <w:tc>
          <w:tcPr>
            <w:tcW w:type="dxa" w:w="6350"/>
            <w:vAlign w:val="center"/>
          </w:tcPr>
          <w:p>
            <w:pPr>
              <w:spacing w:after="40" w:before="40"/>
            </w:pPr>
            <w:r>
              <w:rPr>
                <w:sz w:val="20"/>
              </w:rPr>
              <w:t>7036 sayılı Kanun kapsamında arabuluculuk süreci tamamlandıktan sonra 4857 sayılı İş Kanunu uyarınca feshin geçersizliğinin tespiti, işe iade ve buna bağlı yasal sonuçların uygulanması talebidir.</w:t>
            </w:r>
          </w:p>
        </w:tc>
      </w:tr>
    </w:tbl>
    <w:p>
      <w:pPr>
        <w:spacing w:after="80" w:before="0"/>
      </w:pPr>
      <w:r>
        <w:rPr>
          <w:rFonts w:ascii="Arial" w:hAnsi="Arial" w:eastAsia="Arial"/>
          <w:b w:val="0"/>
          <w:sz w:val="21"/>
        </w:rPr>
      </w:r>
    </w:p>
    <w:p>
      <w:pPr>
        <w:spacing w:before="160" w:after="80"/>
      </w:pPr>
      <w:r>
        <w:rPr>
          <w:rFonts w:ascii="Arial" w:hAnsi="Arial" w:eastAsia="Arial"/>
          <w:b/>
          <w:sz w:val="22"/>
        </w:rPr>
        <w:t>AÇIKLAMALAR</w:t>
      </w:r>
    </w:p>
    <w:p>
      <w:pPr>
        <w:spacing w:after="80" w:before="0"/>
      </w:pPr>
      <w:r>
        <w:rPr>
          <w:rFonts w:ascii="Arial" w:hAnsi="Arial" w:eastAsia="Arial"/>
          <w:b w:val="0"/>
          <w:sz w:val="21"/>
        </w:rPr>
        <w:t>1. Davacı, davalı işveren nezdinde .../.../...... tarihinden itibaren ................................ göreviyle çalışmıştır. İş sözleşmesi, davalı işveren tarafından .../.../...... tarihinde feshedilmiştir / feshedilmiş sayılmıştır.</w:t>
      </w:r>
    </w:p>
    <w:p>
      <w:pPr>
        <w:spacing w:after="80" w:before="0"/>
      </w:pPr>
      <w:r>
        <w:rPr>
          <w:rFonts w:ascii="Arial" w:hAnsi="Arial" w:eastAsia="Arial"/>
          <w:b w:val="0"/>
          <w:sz w:val="21"/>
        </w:rPr>
        <w:t>2. Davacıya yöneltilen fesih işlemi geçerli ve haklı nedene dayanmamaktadır. Fesih bildirimi, iş güvencesi hükümleri bakımından yasal şartları taşımamakta; feshin dayanağı somut, ispatlanabilir ve objektif bir sebep oluşturmamaktadır.</w:t>
      </w:r>
    </w:p>
    <w:p>
      <w:pPr>
        <w:spacing w:after="80" w:before="0"/>
      </w:pPr>
      <w:r>
        <w:rPr>
          <w:rFonts w:ascii="Arial" w:hAnsi="Arial" w:eastAsia="Arial"/>
          <w:b w:val="0"/>
          <w:sz w:val="21"/>
        </w:rPr>
        <w:t>3. Davacı işçi, 4857 sayılı İş Kanunu kapsamında iş güvencesinden yararlanma şartlarını taşımaktadır. Davacının kıdemi, işyerindeki çalışan sayısı ve iş ilişkisinin niteliği gözetildiğinde feshin geçersizliğinin tespiti ile işe iade kararı verilmesi gerekmektedir.</w:t>
      </w:r>
    </w:p>
    <w:p>
      <w:pPr>
        <w:spacing w:after="80" w:before="0"/>
      </w:pPr>
      <w:r>
        <w:rPr>
          <w:rFonts w:ascii="Arial" w:hAnsi="Arial" w:eastAsia="Arial"/>
          <w:b w:val="0"/>
          <w:sz w:val="21"/>
        </w:rPr>
        <w:t>4. Arabuluculuk süreci usulüne uygun şekilde tamamlanmış; ancak taraflar arasında anlaşma sağlanamamıştır. Arabuluculuk son tutanağı işbu dilekçe ekinde sunulmaktadır.</w:t>
      </w:r>
    </w:p>
    <w:p>
      <w:pPr>
        <w:spacing w:after="80" w:before="0"/>
      </w:pPr>
      <w:r>
        <w:rPr>
          <w:rFonts w:ascii="Arial" w:hAnsi="Arial" w:eastAsia="Arial"/>
          <w:b w:val="0"/>
          <w:sz w:val="21"/>
        </w:rPr>
        <w:t>5. Bu nedenle feshin geçersizliğinin tespiti ile davacının işe iadesine, işe başlatılmaması halinde kanuni işe başlatmama tazminatına ve boşta geçen süreye ilişkin ücret ve diğer haklarına hükmedilmesi gerekmektedir.</w:t>
      </w:r>
    </w:p>
    <w:p>
      <w:pPr>
        <w:spacing w:before="160" w:after="80"/>
      </w:pPr>
      <w:r>
        <w:rPr>
          <w:rFonts w:ascii="Arial" w:hAnsi="Arial" w:eastAsia="Arial"/>
          <w:b/>
          <w:sz w:val="22"/>
        </w:rPr>
        <w:t>HUKUKİ SEBEPLER</w:t>
      </w:r>
    </w:p>
    <w:p>
      <w:pPr>
        <w:spacing w:after="80" w:before="0"/>
      </w:pPr>
      <w:r>
        <w:rPr>
          <w:rFonts w:ascii="Arial" w:hAnsi="Arial" w:eastAsia="Arial"/>
          <w:b w:val="0"/>
          <w:sz w:val="21"/>
        </w:rPr>
        <w:t>4857 sayılı İş Kanunu, 7036 sayılı İş Mahkemeleri Kanunu, 6100 sayılı Hukuk Muhakemeleri Kanunu ve ilgili sair mevzuat.</w:t>
      </w:r>
    </w:p>
    <w:p>
      <w:pPr>
        <w:spacing w:before="160" w:after="80"/>
      </w:pPr>
      <w:r>
        <w:rPr>
          <w:rFonts w:ascii="Arial" w:hAnsi="Arial" w:eastAsia="Arial"/>
          <w:b/>
          <w:sz w:val="22"/>
        </w:rPr>
        <w:t>DELİLLER</w:t>
      </w:r>
    </w:p>
    <w:p>
      <w:pPr>
        <w:spacing w:after="80" w:before="0"/>
      </w:pPr>
      <w:r>
        <w:rPr>
          <w:rFonts w:ascii="Arial" w:hAnsi="Arial" w:eastAsia="Arial"/>
          <w:b w:val="0"/>
          <w:sz w:val="21"/>
        </w:rPr>
        <w:t>İş sözleşmesi, fesih bildirimi, SGK kayıtları, özlük dosyası, ücret bordroları, işyeri kayıtları, arabuluculuk son tutanağı, tanık beyanları ve sair yasal deliller.</w:t>
      </w:r>
    </w:p>
    <w:p>
      <w:pPr>
        <w:spacing w:before="160" w:after="80"/>
      </w:pPr>
      <w:r>
        <w:rPr>
          <w:rFonts w:ascii="Arial" w:hAnsi="Arial" w:eastAsia="Arial"/>
          <w:b/>
          <w:sz w:val="22"/>
        </w:rPr>
        <w:t>SONUÇ VE İSTEM</w:t>
      </w:r>
    </w:p>
    <w:p>
      <w:pPr>
        <w:spacing w:after="60" w:before="0"/>
      </w:pPr>
      <w:r>
        <w:rPr>
          <w:rFonts w:ascii="Arial" w:hAnsi="Arial" w:eastAsia="Arial"/>
          <w:b w:val="0"/>
          <w:sz w:val="21"/>
        </w:rPr>
        <w:t>Yukarıda arz edilen nedenlerle;</w:t>
      </w:r>
    </w:p>
    <w:p>
      <w:pPr>
        <w:spacing w:after="60" w:before="0"/>
      </w:pPr>
      <w:r>
        <w:rPr>
          <w:rFonts w:ascii="Arial" w:hAnsi="Arial" w:eastAsia="Arial"/>
          <w:b w:val="0"/>
          <w:sz w:val="21"/>
        </w:rPr>
        <w:t>1. Davalı işveren tarafından gerçekleştirilen feshin GEÇERSİZLİĞİNE,</w:t>
      </w:r>
    </w:p>
    <w:p>
      <w:pPr>
        <w:spacing w:after="60" w:before="0"/>
      </w:pPr>
      <w:r>
        <w:rPr>
          <w:rFonts w:ascii="Arial" w:hAnsi="Arial" w:eastAsia="Arial"/>
          <w:b w:val="0"/>
          <w:sz w:val="21"/>
        </w:rPr>
        <w:t>2. Davacının İŞE İADESİNE,</w:t>
      </w:r>
    </w:p>
    <w:p>
      <w:pPr>
        <w:spacing w:after="60" w:before="0"/>
      </w:pPr>
      <w:r>
        <w:rPr>
          <w:rFonts w:ascii="Arial" w:hAnsi="Arial" w:eastAsia="Arial"/>
          <w:b w:val="0"/>
          <w:sz w:val="21"/>
        </w:rPr>
        <w:t>3. Davacının yasal sürede başvurmasına rağmen işe başlatılmaması halinde, 4857 sayılı İş Kanunu uyarınca uygun miktarda işe başlatmama tazminatına,</w:t>
      </w:r>
    </w:p>
    <w:p>
      <w:pPr>
        <w:spacing w:after="60" w:before="0"/>
      </w:pPr>
      <w:r>
        <w:rPr>
          <w:rFonts w:ascii="Arial" w:hAnsi="Arial" w:eastAsia="Arial"/>
          <w:b w:val="0"/>
          <w:sz w:val="21"/>
        </w:rPr>
        <w:t>4. Kararın kesinleşmesine kadar boşta geçen süre için davacının en çok dört aya kadar ücret ve diğer haklarının davalıdan tahsiline,</w:t>
      </w:r>
    </w:p>
    <w:p>
      <w:pPr>
        <w:spacing w:after="60" w:before="0"/>
      </w:pPr>
      <w:r>
        <w:rPr>
          <w:rFonts w:ascii="Arial" w:hAnsi="Arial" w:eastAsia="Arial"/>
          <w:b w:val="0"/>
          <w:sz w:val="21"/>
        </w:rPr>
        <w:t>5. Yargılama giderleri ve vekâlet ücretinin davalıya yükletilmesine,</w:t>
      </w:r>
    </w:p>
    <w:p>
      <w:pPr>
        <w:spacing w:after="60" w:before="0"/>
      </w:pPr>
      <w:r>
        <w:rPr>
          <w:rFonts w:ascii="Arial" w:hAnsi="Arial" w:eastAsia="Arial"/>
          <w:b w:val="0"/>
          <w:sz w:val="21"/>
        </w:rPr>
        <w:t>karar verilmesini saygıyla arz ve talep ederim / ederiz.</w:t>
      </w:r>
    </w:p>
    <w:p>
      <w:pPr>
        <w:spacing w:after="120" w:before="0"/>
      </w:pPr>
      <w:r>
        <w:rPr>
          <w:rFonts w:ascii="Arial" w:hAnsi="Arial" w:eastAsia="Arial"/>
          <w:b w:val="0"/>
          <w:sz w:val="21"/>
        </w:rPr>
      </w:r>
    </w:p>
    <w:p>
      <w:pPr>
        <w:spacing w:after="120" w:before="0"/>
      </w:pPr>
      <w:r>
        <w:rPr>
          <w:rFonts w:ascii="Arial" w:hAnsi="Arial" w:eastAsia="Arial"/>
          <w:b/>
          <w:sz w:val="21"/>
        </w:rPr>
        <w:t>Davacı / Vekili</w:t>
      </w:r>
    </w:p>
    <w:p>
      <w:pPr>
        <w:spacing w:after="0" w:before="0"/>
      </w:pPr>
      <w:r>
        <w:rPr>
          <w:rFonts w:ascii="Arial" w:hAnsi="Arial" w:eastAsia="Arial"/>
          <w:b w:val="0"/>
          <w:sz w:val="21"/>
        </w:rPr>
        <w:t>Ad Soyad</w:t>
      </w:r>
    </w:p>
    <w:p>
      <w:pPr>
        <w:spacing w:after="160" w:before="0"/>
      </w:pPr>
      <w:r>
        <w:rPr>
          <w:rFonts w:ascii="Arial" w:hAnsi="Arial" w:eastAsia="Arial"/>
          <w:b w:val="0"/>
          <w:sz w:val="21"/>
        </w:rPr>
        <w:t>İmza</w:t>
      </w:r>
    </w:p>
    <w:p>
      <w:pPr>
        <w:spacing w:before="160" w:after="80"/>
      </w:pPr>
      <w:r>
        <w:rPr>
          <w:rFonts w:ascii="Arial" w:hAnsi="Arial" w:eastAsia="Arial"/>
          <w:b/>
          <w:sz w:val="22"/>
        </w:rPr>
        <w:t>Kullanım Notları</w:t>
      </w:r>
    </w:p>
    <w:p>
      <w:pPr>
        <w:pStyle w:val="ListBullet"/>
        <w:spacing w:after="40"/>
      </w:pPr>
      <w:r>
        <w:t>İşe iade davasında arabuluculuk son tutanağı zorunludur.</w:t>
      </w:r>
    </w:p>
    <w:p>
      <w:pPr>
        <w:pStyle w:val="ListBullet"/>
        <w:spacing w:after="40"/>
      </w:pPr>
      <w:r>
        <w:t>Fesih bildiriminin tebliğ tarihi, dava süresi bakımından ayrıca kontrol edilmelidir.</w:t>
      </w:r>
    </w:p>
    <w:p>
      <w:pPr>
        <w:pStyle w:val="ListBullet"/>
        <w:spacing w:after="40"/>
      </w:pPr>
      <w:r>
        <w:t>İş güvencesi şartları, işyerindeki çalışan sayısı ve kıdem durumu somut olayda ayrıca değerlendirilmelidir.</w:t>
      </w:r>
    </w:p>
    <w:p>
      <w:pPr>
        <w:pStyle w:val="ListBullet"/>
        <w:spacing w:after="40"/>
      </w:pPr>
      <w:r>
        <w:t>Bu örnek genel amaçlıdır; somut dosyaya göre mutlaka uyarlanmalıdır.</w:t>
      </w:r>
    </w:p>
    <w:sectPr w:rsidR="00FC693F" w:rsidRPr="0006063C" w:rsidSect="00034616">
      <w:pgSz w:w="12240" w:h="15840"/>
      <w:pgMar w:top="1247" w:right="1247" w:bottom="1247"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